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D570C6">
        <w:rPr>
          <w:b/>
          <w:color w:val="1F497D"/>
          <w:sz w:val="24"/>
          <w:szCs w:val="24"/>
        </w:rPr>
        <w:t xml:space="preserve">Opracowanie dokumentacji projektowej oraz wykonanie robót dotyczących wymiany dźwigu osobowego w budynku „C” Szpitala Powiatowego w Chrzanowie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</w:t>
      </w:r>
      <w:bookmarkStart w:id="0" w:name="_GoBack"/>
      <w:bookmarkEnd w:id="0"/>
      <w:r w:rsidR="008D0487" w:rsidRPr="009135CB">
        <w:rPr>
          <w:rFonts w:ascii="Bookman Old Style" w:hAnsi="Bookman Old Style" w:cs="Arial"/>
        </w:rPr>
        <w:t xml:space="preserve">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70C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6AB2-0B76-4198-9CBE-5D543A45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22</cp:revision>
  <cp:lastPrinted>2016-08-05T08:24:00Z</cp:lastPrinted>
  <dcterms:created xsi:type="dcterms:W3CDTF">2016-08-05T11:13:00Z</dcterms:created>
  <dcterms:modified xsi:type="dcterms:W3CDTF">2019-08-23T11:22:00Z</dcterms:modified>
</cp:coreProperties>
</file>